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89" w:rsidRPr="007E5D9C" w:rsidRDefault="00C92989" w:rsidP="00C92989">
      <w:pPr>
        <w:pStyle w:val="Titre1"/>
        <w:rPr>
          <w:lang w:val="fr-FR"/>
        </w:rPr>
      </w:pPr>
      <w:r w:rsidRPr="007E5D9C">
        <w:rPr>
          <w:lang w:val="fr-FR"/>
        </w:rPr>
        <w:t xml:space="preserve">Programme UE4 </w:t>
      </w:r>
    </w:p>
    <w:p w:rsidR="00C92989" w:rsidRPr="007E5D9C" w:rsidRDefault="00C92989" w:rsidP="00C92989">
      <w:pPr>
        <w:rPr>
          <w:lang w:val="fr-FR"/>
        </w:rPr>
      </w:pPr>
    </w:p>
    <w:p w:rsidR="00C92989" w:rsidRDefault="00C92989" w:rsidP="00C92989">
      <w:pPr>
        <w:pStyle w:val="Titre2"/>
        <w:rPr>
          <w:lang w:val="fr-FR"/>
        </w:rPr>
      </w:pPr>
      <w:r>
        <w:rPr>
          <w:lang w:val="fr-FR"/>
        </w:rPr>
        <w:t>Paloma BRAVO</w:t>
      </w:r>
      <w:r w:rsidR="00BE5494">
        <w:rPr>
          <w:lang w:val="fr-FR"/>
        </w:rPr>
        <w:t xml:space="preserve"> (</w:t>
      </w:r>
      <w:r w:rsidR="00BE5494" w:rsidRPr="007E5D9C">
        <w:rPr>
          <w:lang w:val="fr-FR"/>
        </w:rPr>
        <w:t>semestre 1</w:t>
      </w:r>
      <w:r w:rsidR="00BE5494">
        <w:rPr>
          <w:lang w:val="fr-FR"/>
        </w:rPr>
        <w:t>)</w:t>
      </w:r>
    </w:p>
    <w:p w:rsidR="00C92989" w:rsidRPr="00C92989" w:rsidRDefault="00C92989" w:rsidP="00C92989">
      <w:pPr>
        <w:pStyle w:val="Titre3"/>
        <w:rPr>
          <w:lang w:val="fr-FR"/>
        </w:rPr>
      </w:pPr>
      <w:r>
        <w:rPr>
          <w:lang w:val="fr-FR"/>
        </w:rPr>
        <w:t>La révolte de Saragosse de 1591 : un exemple de contestation politique sous Philippe II</w:t>
      </w:r>
    </w:p>
    <w:p w:rsidR="00532530" w:rsidRPr="00CB4D4D" w:rsidRDefault="00CB4D4D" w:rsidP="00CB4D4D">
      <w:pPr>
        <w:pStyle w:val="Titre4"/>
      </w:pPr>
      <w:r w:rsidRPr="00CB4D4D">
        <w:t>BIBLIOGRAPHIE</w:t>
      </w:r>
      <w:r w:rsidR="00690348">
        <w:t xml:space="preserve"> SECONDAIRE</w:t>
      </w:r>
    </w:p>
    <w:tbl>
      <w:tblPr>
        <w:tblW w:w="9453" w:type="dxa"/>
        <w:shd w:val="clear" w:color="auto" w:fill="EDEB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3"/>
      </w:tblGrid>
      <w:tr w:rsidR="00690348" w:rsidRPr="00102BFF" w:rsidTr="00BE5494">
        <w:trPr>
          <w:trHeight w:val="302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348" w:rsidRPr="00102BFF" w:rsidRDefault="00102BFF" w:rsidP="00102B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 xml:space="preserve">BRAVO, </w:t>
            </w:r>
            <w:r w:rsidR="00690348"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 xml:space="preserve">Paloma, 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« Enfants guerriers, enfants victimes et enfants sages : les figures de l’enfance dans les récits de la révolte aragonaise de 1591. » (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lang w:val="fr-FR"/>
              </w:rPr>
              <w:t>Figures de l’Enfance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,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lang w:val="fr-FR"/>
              </w:rPr>
              <w:t xml:space="preserve"> 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sous la direction d’Augustin </w:t>
            </w:r>
            <w:proofErr w:type="spellStart"/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Redondo</w:t>
            </w:r>
            <w:proofErr w:type="spellEnd"/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, Paris, Presses de la Sorbonne Nouvelle, 1997, p. 43-65)</w:t>
            </w:r>
          </w:p>
          <w:p w:rsidR="00690348" w:rsidRPr="00102BFF" w:rsidRDefault="00102BFF" w:rsidP="00102B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 xml:space="preserve">BRAVO, </w:t>
            </w:r>
            <w:r w:rsidR="00690348"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>Paloma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, « L’État aragonais, un exemple de circulation de modèles conceptuels entre l’Espagne et Amsterdam » (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lang w:val="fr-FR"/>
              </w:rPr>
              <w:t>Les Flandres et la culture espagnole et italienne aux XVI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lang w:val="fr-FR"/>
              </w:rPr>
              <w:t xml:space="preserve"> et XVII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lang w:val="fr-FR"/>
              </w:rPr>
              <w:t xml:space="preserve"> siècles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textes réunis par M. </w:t>
            </w:r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Blanco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-</w:t>
            </w:r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Morel 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et M. F. </w:t>
            </w:r>
            <w:proofErr w:type="spellStart"/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Piéjus</w:t>
            </w:r>
            <w:proofErr w:type="spellEnd"/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, Lille, Université de Lille 3, “Travaux et recherches”, 1998, p. 69-81).</w:t>
            </w:r>
          </w:p>
          <w:p w:rsidR="00690348" w:rsidRPr="00102BFF" w:rsidRDefault="00102BFF" w:rsidP="00102B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 xml:space="preserve">BRAVO </w:t>
            </w:r>
            <w:r w:rsidR="00690348"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>Paloma,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«Les pasquins aragonais de 1591 : figures de la contestation politique sous Philippe II» (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lang w:val="fr-FR"/>
              </w:rPr>
              <w:t>Le pouvoir au miroir de la littérature en Espagne aux XVI et XVII siècles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, sous la </w:t>
            </w:r>
            <w:proofErr w:type="spellStart"/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dir</w:t>
            </w:r>
            <w:proofErr w:type="spellEnd"/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d’Augustin. </w:t>
            </w:r>
            <w:proofErr w:type="spellStart"/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Redondo</w:t>
            </w:r>
            <w:proofErr w:type="spellEnd"/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, Paris, Publications de la Sorbonne, Presses de la Sorbonne Nouvelle, 2000, p. 49-68).</w:t>
            </w:r>
          </w:p>
          <w:p w:rsidR="00690348" w:rsidRPr="00102BFF" w:rsidRDefault="00102BFF" w:rsidP="00102BF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 xml:space="preserve">BRAVO </w:t>
            </w:r>
            <w:r w:rsidR="00690348" w:rsidRPr="00102BFF">
              <w:rPr>
                <w:rFonts w:ascii="Palatino Linotype" w:eastAsia="Times New Roman" w:hAnsi="Palatino Linotype" w:cs="Helvetica"/>
                <w:sz w:val="20"/>
                <w:szCs w:val="20"/>
                <w:lang w:val="fr-FR" w:eastAsia="es-ES_tradnl"/>
              </w:rPr>
              <w:t>Paloma</w:t>
            </w:r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« Un secrétaire d’Etat contre le Saint-Office : le procès inquisitorial d’Antonio Pérez (1591-1592) » (</w:t>
            </w:r>
            <w:r w:rsidR="00690348" w:rsidRPr="00102BFF">
              <w:rPr>
                <w:rFonts w:ascii="Palatino Linotype" w:hAnsi="Palatino Linotype"/>
                <w:i/>
                <w:sz w:val="20"/>
                <w:szCs w:val="20"/>
                <w:lang w:val="fr-FR"/>
              </w:rPr>
              <w:t>Autour de l’Inquisition</w:t>
            </w:r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dir</w:t>
            </w:r>
            <w:proofErr w:type="spellEnd"/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. Rica </w:t>
            </w:r>
            <w:proofErr w:type="spellStart"/>
            <w:r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>Amran</w:t>
            </w:r>
            <w:proofErr w:type="spellEnd"/>
            <w:r w:rsidR="00690348" w:rsidRPr="00102BFF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, Université de Picardie, Indigo et Côté Femmes éditions, 2002, p. 179-194). </w:t>
            </w:r>
          </w:p>
          <w:p w:rsidR="00690348" w:rsidRDefault="00102BFF" w:rsidP="00102BFF">
            <w:pPr>
              <w:pStyle w:val="Paragraphedeliste"/>
              <w:numPr>
                <w:ilvl w:val="0"/>
                <w:numId w:val="3"/>
              </w:numPr>
              <w:spacing w:after="315" w:line="240" w:lineRule="auto"/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</w:pPr>
            <w:r w:rsidRPr="00102BFF"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  <w:t>COLAS LATORRE</w:t>
            </w:r>
            <w:r w:rsidR="00690348" w:rsidRPr="00102BFF"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  <w:t xml:space="preserve">, Gregorio y </w:t>
            </w:r>
            <w:r w:rsidRPr="00102BFF"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  <w:t>SALAS AUSÉNS</w:t>
            </w:r>
            <w:r w:rsidR="00690348" w:rsidRPr="00102BFF"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  <w:t xml:space="preserve">, José Antonio, </w:t>
            </w:r>
            <w:r w:rsidR="00690348" w:rsidRPr="00102BFF">
              <w:rPr>
                <w:rFonts w:ascii="Palatino Linotype" w:eastAsia="Times New Roman" w:hAnsi="Palatino Linotype" w:cs="Helvetica"/>
                <w:i/>
                <w:sz w:val="20"/>
                <w:szCs w:val="20"/>
                <w:lang w:eastAsia="es-ES_tradnl"/>
              </w:rPr>
              <w:t>Aragón en el siglo XVI : alteraciones sociales y conflictos políticos</w:t>
            </w:r>
            <w:r w:rsidR="00690348" w:rsidRPr="00102BFF"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  <w:t>, Zaragoza, Universidad, 1982</w:t>
            </w:r>
          </w:p>
          <w:p w:rsidR="00BE5494" w:rsidRPr="00102BFF" w:rsidRDefault="00BE5494" w:rsidP="00BE5494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GASCÓN PÉREZ, Jesús, 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Alzar banderas contra su rey. La rebelión aragonesa de 1591 contra Felipe II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>, Prensas universitarias de Zaragoza, 2009.</w:t>
            </w:r>
          </w:p>
          <w:p w:rsidR="00BE5494" w:rsidRPr="00102BFF" w:rsidRDefault="00BE5494" w:rsidP="00BE5494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GASCÓN PÉREZ, Jesús, 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Bibliografía crítica para el estudio de la rebelión aragonesa de 1591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>, Zaragoza, Institución Fernando el Católico, 1995</w:t>
            </w:r>
          </w:p>
          <w:p w:rsidR="00BE5494" w:rsidRPr="00102BFF" w:rsidRDefault="00BE5494" w:rsidP="00BE5494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GASCÓN PÉREZ, Jesús, 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La rebelión de las palabras. Sátira y oposición política en Aragón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 (1590-1626), Zaragoza, </w:t>
            </w:r>
            <w:proofErr w:type="spellStart"/>
            <w:r w:rsidRPr="00102BFF">
              <w:rPr>
                <w:rFonts w:ascii="Palatino Linotype" w:hAnsi="Palatino Linotype"/>
                <w:sz w:val="20"/>
                <w:szCs w:val="20"/>
              </w:rPr>
              <w:t>Larumbe</w:t>
            </w:r>
            <w:proofErr w:type="spellEnd"/>
            <w:r w:rsidRPr="00102BFF">
              <w:rPr>
                <w:rFonts w:ascii="Palatino Linotype" w:hAnsi="Palatino Linotype"/>
                <w:sz w:val="20"/>
                <w:szCs w:val="20"/>
              </w:rPr>
              <w:t>, 2003</w:t>
            </w:r>
          </w:p>
          <w:p w:rsidR="00BE5494" w:rsidRPr="00102BFF" w:rsidRDefault="00BE5494" w:rsidP="00BE5494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02BFF">
              <w:rPr>
                <w:rFonts w:ascii="Palatino Linotype" w:hAnsi="Palatino Linotype"/>
                <w:sz w:val="20"/>
                <w:szCs w:val="20"/>
              </w:rPr>
              <w:t>GRACIA RIVAS, Manuel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, La “invasión” de Aragón en 1591. Una solución militar a las alteraciones del reino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>, Zaragoza, Diputación general de Aragón, 1991</w:t>
            </w:r>
          </w:p>
          <w:p w:rsidR="00BE5494" w:rsidRPr="00102BFF" w:rsidRDefault="00BE5494" w:rsidP="00BE5494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PIDAL (marqués de), 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Historia de las alteraciones de Aragón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>, Madrid, Imprenta de J. Martin Alegría, 1862</w:t>
            </w:r>
          </w:p>
          <w:p w:rsidR="00BE5494" w:rsidRPr="00102BFF" w:rsidRDefault="00BE5494" w:rsidP="00BE5494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SALAS AUSÉNS José Antonio y JARQUE MARTÍNEZ, Encarna, 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Las alteraciones de Zaragoza en 1591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>, Zaragoza, Astral, 1991</w:t>
            </w:r>
          </w:p>
          <w:p w:rsidR="00BE5494" w:rsidRPr="00102BFF" w:rsidRDefault="00BE5494" w:rsidP="00BE5494">
            <w:pPr>
              <w:pStyle w:val="Paragraphedeliste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SERRANO MARTÍN, Eliseo, “Aragón moderno” 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in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 Eloy FERNÁNDEZ CLEMENTE (</w:t>
            </w:r>
            <w:proofErr w:type="spellStart"/>
            <w:r w:rsidRPr="00102BFF">
              <w:rPr>
                <w:rFonts w:ascii="Palatino Linotype" w:hAnsi="Palatino Linotype"/>
                <w:sz w:val="20"/>
                <w:szCs w:val="20"/>
              </w:rPr>
              <w:t>dir</w:t>
            </w:r>
            <w:proofErr w:type="spellEnd"/>
            <w:r w:rsidRPr="00102BFF">
              <w:rPr>
                <w:rFonts w:ascii="Palatino Linotype" w:hAnsi="Palatino Linotype"/>
                <w:sz w:val="20"/>
                <w:szCs w:val="20"/>
              </w:rPr>
              <w:t xml:space="preserve">), </w:t>
            </w:r>
            <w:r w:rsidRPr="00102BFF">
              <w:rPr>
                <w:rFonts w:ascii="Palatino Linotype" w:hAnsi="Palatino Linotype"/>
                <w:i/>
                <w:sz w:val="20"/>
                <w:szCs w:val="20"/>
              </w:rPr>
              <w:t>Historia de Aragón</w:t>
            </w:r>
            <w:r w:rsidRPr="00102BFF">
              <w:rPr>
                <w:rFonts w:ascii="Palatino Linotype" w:hAnsi="Palatino Linotype"/>
                <w:sz w:val="20"/>
                <w:szCs w:val="20"/>
              </w:rPr>
              <w:t>, Madrid, La esfera de los libros, 2000, pp. 379-620</w:t>
            </w:r>
          </w:p>
          <w:p w:rsidR="00BE5494" w:rsidRDefault="00BE5494" w:rsidP="00BE5494">
            <w:pPr>
              <w:pStyle w:val="Titre4"/>
            </w:pPr>
            <w:r>
              <w:t>SOURCES</w:t>
            </w:r>
          </w:p>
          <w:p w:rsidR="00BE5494" w:rsidRPr="00BE5494" w:rsidRDefault="00BE5494" w:rsidP="00BE5494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t xml:space="preserve">CÉSPEDES Y MENESES, Gonzalo, </w:t>
            </w:r>
            <w:r w:rsidRPr="00BE5494">
              <w:rPr>
                <w:i/>
              </w:rPr>
              <w:t>Historia apologétic</w:t>
            </w:r>
            <w:r>
              <w:rPr>
                <w:i/>
              </w:rPr>
              <w:t>a en los sucesos del reino de Ar</w:t>
            </w:r>
            <w:r w:rsidRPr="00BE5494">
              <w:rPr>
                <w:i/>
              </w:rPr>
              <w:t>agón y su ciudad de Zaragoza, años de 91 y 92….</w:t>
            </w:r>
            <w:r>
              <w:t>, Zaragoza, 1622.</w:t>
            </w:r>
          </w:p>
          <w:p w:rsidR="00BE5494" w:rsidRPr="00BE5494" w:rsidRDefault="00BE5494" w:rsidP="00BE5494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t xml:space="preserve">GURREA Y de ARAGON, Francisco (conde de Luna), </w:t>
            </w:r>
            <w:r w:rsidRPr="00BE5494">
              <w:rPr>
                <w:i/>
              </w:rPr>
              <w:t>Comentarios de los sucesos de Aragón en los años 1591 y 1592</w:t>
            </w:r>
            <w:r>
              <w:t xml:space="preserve">, Madrid, Imprenta A. Pérez </w:t>
            </w:r>
            <w:proofErr w:type="spellStart"/>
            <w:r>
              <w:t>Dubrull</w:t>
            </w:r>
            <w:proofErr w:type="spellEnd"/>
            <w:r>
              <w:t>, 1888</w:t>
            </w:r>
          </w:p>
          <w:p w:rsidR="00BE5494" w:rsidRDefault="00BE5494" w:rsidP="00BE5494">
            <w:pPr>
              <w:pStyle w:val="Paragraphedeliste"/>
              <w:numPr>
                <w:ilvl w:val="0"/>
                <w:numId w:val="5"/>
              </w:numPr>
            </w:pPr>
            <w:r>
              <w:t xml:space="preserve">LEONARDO DE ARGENSOLA, </w:t>
            </w:r>
            <w:proofErr w:type="spellStart"/>
            <w:r>
              <w:t>Lupercio</w:t>
            </w:r>
            <w:proofErr w:type="spellEnd"/>
            <w:r>
              <w:t xml:space="preserve">, </w:t>
            </w:r>
            <w:r w:rsidRPr="00102BFF">
              <w:rPr>
                <w:i/>
              </w:rPr>
              <w:t>Información de los sucesos del Reino de Aragón en los años 1590-1591</w:t>
            </w:r>
            <w:r>
              <w:t>, Madrid, Imprenta real, 1808</w:t>
            </w:r>
          </w:p>
          <w:p w:rsidR="00BE5494" w:rsidRPr="00BE5494" w:rsidRDefault="00BE5494" w:rsidP="00BE5494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>
              <w:lastRenderedPageBreak/>
              <w:t xml:space="preserve">PEREZ, Antonio, </w:t>
            </w:r>
            <w:r w:rsidRPr="00BE5494">
              <w:rPr>
                <w:i/>
              </w:rPr>
              <w:t>Relaciones</w:t>
            </w:r>
            <w:r>
              <w:t>, Madrid, Turner, 1988.</w:t>
            </w:r>
          </w:p>
          <w:p w:rsidR="00BE5494" w:rsidRPr="00102BFF" w:rsidRDefault="00BE5494" w:rsidP="00BE5494">
            <w:pPr>
              <w:pStyle w:val="Paragraphedeliste"/>
              <w:spacing w:after="315" w:line="240" w:lineRule="auto"/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</w:pPr>
          </w:p>
        </w:tc>
      </w:tr>
      <w:tr w:rsidR="00690348" w:rsidRPr="00102BFF" w:rsidTr="00BE5494">
        <w:trPr>
          <w:trHeight w:val="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348" w:rsidRPr="00102BFF" w:rsidRDefault="00690348" w:rsidP="00690348">
            <w:pPr>
              <w:spacing w:after="0" w:line="240" w:lineRule="auto"/>
              <w:jc w:val="both"/>
              <w:rPr>
                <w:rFonts w:ascii="Palatino Linotype" w:eastAsia="Times New Roman" w:hAnsi="Palatino Linotype" w:cs="Helvetica"/>
                <w:sz w:val="20"/>
                <w:szCs w:val="20"/>
                <w:lang w:eastAsia="es-ES_tradnl"/>
              </w:rPr>
            </w:pPr>
          </w:p>
        </w:tc>
      </w:tr>
    </w:tbl>
    <w:p w:rsidR="00BE5494" w:rsidRDefault="00BE5494" w:rsidP="00BE5494">
      <w:pPr>
        <w:pStyle w:val="Titre2"/>
        <w:rPr>
          <w:lang w:val="fr-FR"/>
        </w:rPr>
      </w:pPr>
      <w:r>
        <w:rPr>
          <w:lang w:val="fr-FR"/>
        </w:rPr>
        <w:t>Bénédicte BRÉMARD (</w:t>
      </w:r>
      <w:r w:rsidRPr="007E5D9C">
        <w:rPr>
          <w:lang w:val="fr-FR"/>
        </w:rPr>
        <w:t>semestre 1</w:t>
      </w:r>
      <w:r>
        <w:rPr>
          <w:lang w:val="fr-FR"/>
        </w:rPr>
        <w:t>)</w:t>
      </w:r>
    </w:p>
    <w:p w:rsidR="00FA723A" w:rsidRPr="00FA723A" w:rsidRDefault="00FA723A" w:rsidP="00FA723A">
      <w:pPr>
        <w:pStyle w:val="Titre3"/>
      </w:pPr>
      <w:r w:rsidRPr="00FA723A">
        <w:t xml:space="preserve">La </w:t>
      </w:r>
      <w:proofErr w:type="spellStart"/>
      <w:r w:rsidRPr="00FA723A">
        <w:t>ville</w:t>
      </w:r>
      <w:proofErr w:type="spellEnd"/>
      <w:r w:rsidRPr="00FA723A">
        <w:t xml:space="preserve"> </w:t>
      </w:r>
      <w:proofErr w:type="spellStart"/>
      <w:r w:rsidRPr="00FA723A">
        <w:t>au</w:t>
      </w:r>
      <w:proofErr w:type="spellEnd"/>
      <w:r w:rsidRPr="00FA723A">
        <w:t xml:space="preserve"> </w:t>
      </w:r>
      <w:proofErr w:type="spellStart"/>
      <w:proofErr w:type="gramStart"/>
      <w:r w:rsidRPr="00FA723A">
        <w:t>cinéma</w:t>
      </w:r>
      <w:proofErr w:type="spellEnd"/>
      <w:r w:rsidRPr="00FA723A">
        <w:t xml:space="preserve"> :</w:t>
      </w:r>
      <w:proofErr w:type="gramEnd"/>
      <w:r w:rsidRPr="00FA723A">
        <w:t xml:space="preserve"> Madrid, </w:t>
      </w:r>
      <w:proofErr w:type="spellStart"/>
      <w:r w:rsidRPr="00FA723A">
        <w:t>Barcelone</w:t>
      </w:r>
      <w:proofErr w:type="spellEnd"/>
      <w:r w:rsidRPr="00FA723A">
        <w:t>, Buenos Aires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A723A">
        <w:rPr>
          <w:rFonts w:ascii="TimesNewRomanPSMT" w:hAnsi="TimesNewRomanPSMT" w:cs="TimesNewRomanPSMT"/>
          <w:sz w:val="24"/>
          <w:szCs w:val="24"/>
          <w:lang w:val="fr-FR"/>
        </w:rPr>
        <w:t>Le séminaire proposera l’étude de trois films ayant choisi de grandes métropoles modernes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comme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 contexte social autant que spatial. Si le cinéma a le pouvoir mimétique de représenter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des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 espaces référentiels reconnaissables, il élabore également un imaginaire de la ville par des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choix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 de cadrage et de montage. En consignant les mutations de l’espace urbain, il propose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indirectement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 une réflexion qui unit espace, temps et mémoire. L’esthétique contemplative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n’exclut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 pas l’analyse sociale, les trois films faisant de la ville moderne un véritable actant qui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intervient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 dans les liens entre intimité et société, entre solitude et solidarité.</w:t>
      </w:r>
    </w:p>
    <w:p w:rsidR="00FA723A" w:rsidRDefault="00FA723A" w:rsidP="00FA723A">
      <w:pPr>
        <w:pStyle w:val="Titre4"/>
      </w:pPr>
      <w:r>
        <w:t>FILMOGR</w:t>
      </w:r>
      <w:bookmarkStart w:id="0" w:name="_GoBack"/>
      <w:bookmarkEnd w:id="0"/>
      <w:r>
        <w:t>APHIE</w:t>
      </w:r>
    </w:p>
    <w:p w:rsid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/>
          <w:sz w:val="24"/>
          <w:szCs w:val="24"/>
        </w:rPr>
        <w:t>O</w:t>
      </w: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Mujeres al borde de un ataque de nervios </w:t>
      </w:r>
      <w:r>
        <w:rPr>
          <w:rFonts w:ascii="TimesNewRomanPSMT" w:hAnsi="TimesNewRomanPSMT" w:cs="TimesNewRomanPSMT"/>
          <w:sz w:val="24"/>
          <w:szCs w:val="24"/>
        </w:rPr>
        <w:t>(Pedro A</w:t>
      </w:r>
      <w:r>
        <w:rPr>
          <w:rFonts w:ascii="TimesNewRomanPSMT" w:hAnsi="TimesNewRomanPSMT" w:cs="TimesNewRomanPSMT"/>
          <w:sz w:val="19"/>
          <w:szCs w:val="19"/>
        </w:rPr>
        <w:t>LMODÓVAR</w:t>
      </w:r>
      <w:r>
        <w:rPr>
          <w:rFonts w:ascii="TimesNewRomanPSMT" w:hAnsi="TimesNewRomanPSMT" w:cs="TimesNewRomanPSMT"/>
          <w:sz w:val="24"/>
          <w:szCs w:val="24"/>
        </w:rPr>
        <w:t>, 1988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;</w:t>
      </w:r>
      <w:proofErr w:type="gramEnd"/>
    </w:p>
    <w:p w:rsid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/>
          <w:sz w:val="24"/>
          <w:szCs w:val="24"/>
        </w:rPr>
        <w:t>O</w:t>
      </w: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 construcción </w:t>
      </w:r>
      <w:r>
        <w:rPr>
          <w:rFonts w:ascii="TimesNewRomanPSMT" w:hAnsi="TimesNewRomanPSMT" w:cs="TimesNewRomanPSMT"/>
          <w:sz w:val="24"/>
          <w:szCs w:val="24"/>
        </w:rPr>
        <w:t>(José Luis G</w:t>
      </w:r>
      <w:r>
        <w:rPr>
          <w:rFonts w:ascii="TimesNewRomanPSMT" w:hAnsi="TimesNewRomanPSMT" w:cs="TimesNewRomanPSMT"/>
          <w:sz w:val="19"/>
          <w:szCs w:val="19"/>
        </w:rPr>
        <w:t>UERÍN</w:t>
      </w:r>
      <w:r>
        <w:rPr>
          <w:rFonts w:ascii="TimesNewRomanPSMT" w:hAnsi="TimesNewRomanPSMT" w:cs="TimesNewRomanPSMT"/>
          <w:sz w:val="24"/>
          <w:szCs w:val="24"/>
        </w:rPr>
        <w:t>, 2002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;</w:t>
      </w:r>
      <w:proofErr w:type="gramEnd"/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A723A">
        <w:rPr>
          <w:rFonts w:ascii="Wingdings-Regular" w:eastAsia="Wingdings-Regular" w:hAnsi="TimesNewRomanPS-BoldMT" w:cs="Wingdings-Regular"/>
          <w:sz w:val="24"/>
          <w:szCs w:val="24"/>
          <w:lang w:val="fr-FR"/>
        </w:rPr>
        <w:t>O</w:t>
      </w: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 w:rsidRPr="00FA723A">
        <w:rPr>
          <w:rFonts w:ascii="Wingdings-Regular" w:eastAsia="Wingdings-Regular" w:hAnsi="TimesNewRomanPS-BoldMT" w:cs="Wingdings-Regular"/>
          <w:sz w:val="24"/>
          <w:szCs w:val="24"/>
          <w:lang w:val="fr-FR"/>
        </w:rPr>
        <w:t xml:space="preserve"> </w:t>
      </w:r>
      <w:proofErr w:type="spellStart"/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Medianeras</w:t>
      </w:r>
      <w:proofErr w:type="spellEnd"/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 xml:space="preserve">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(Gustavo T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>ARETTO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2011).</w:t>
      </w:r>
    </w:p>
    <w:p w:rsidR="00FA723A" w:rsidRPr="00FA723A" w:rsidRDefault="00FA723A" w:rsidP="00FA723A">
      <w:pPr>
        <w:pStyle w:val="Titre4"/>
        <w:rPr>
          <w:lang w:val="fr-FR"/>
        </w:rPr>
      </w:pPr>
      <w:r w:rsidRPr="00FA723A">
        <w:rPr>
          <w:lang w:val="fr-FR"/>
        </w:rPr>
        <w:t>BIBLIOGRAPHIE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A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UMONT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Jacques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 xml:space="preserve">et </w:t>
      </w:r>
      <w:proofErr w:type="spellStart"/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alii</w:t>
      </w:r>
      <w:proofErr w:type="spell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Esthétique du film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Paris, Nathan Université, 1994.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A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UMONT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Jacques, M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ARIE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Michel,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L’analyse des films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Paris, Nathan Université, 1989.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B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ARILLET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Julie, H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EITZ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Françoise, L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OUGUET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Patrick et V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IENNE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Patrick,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La ville au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cinéma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Collection « Lettres et Civilisations Étrangères », Arras, Artois Presses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A723A">
        <w:rPr>
          <w:rFonts w:ascii="TimesNewRomanPSMT" w:hAnsi="TimesNewRomanPSMT" w:cs="TimesNewRomanPSMT"/>
          <w:sz w:val="24"/>
          <w:szCs w:val="24"/>
          <w:lang w:val="fr-FR"/>
        </w:rPr>
        <w:t>Universitaires, 2005.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B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RESCHAND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Jean,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Le documentaire. L’autre face du cinéma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Paris, Cahiers du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gram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cinéma/</w:t>
      </w:r>
      <w:proofErr w:type="gram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Les petits cahiers/</w:t>
      </w:r>
      <w:proofErr w:type="spell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Scéren</w:t>
      </w:r>
      <w:proofErr w:type="spell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-CNDP, 2002.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19"/>
          <w:szCs w:val="19"/>
        </w:rPr>
        <w:t xml:space="preserve">ARMONA </w:t>
      </w:r>
      <w:r>
        <w:rPr>
          <w:rFonts w:ascii="TimesNewRomanPSMT" w:hAnsi="TimesNewRomanPSMT" w:cs="TimesNewRomanPSMT"/>
          <w:sz w:val="24"/>
          <w:szCs w:val="24"/>
        </w:rPr>
        <w:t xml:space="preserve">Ramón,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¿Cómo se comenta un texto fílmico?</w:t>
      </w:r>
      <w:r>
        <w:rPr>
          <w:rFonts w:ascii="TimesNewRomanPSMT" w:hAnsi="TimesNewRomanPSMT" w:cs="TimesNewRomanPSMT"/>
          <w:sz w:val="24"/>
          <w:szCs w:val="24"/>
        </w:rPr>
        <w:t xml:space="preserve">, Madrid, Cátedra, col.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Signo e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proofErr w:type="spell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Imagen</w:t>
      </w:r>
      <w:proofErr w:type="spell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1993.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G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ARDIES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André,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L’Espace au cinéma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, Paris, Méridiens </w:t>
      </w:r>
      <w:proofErr w:type="spell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Klincksieck</w:t>
      </w:r>
      <w:proofErr w:type="spell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1993.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G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AUDREAULT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André, J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OST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François,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Le récit cinématographique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Paris, Nathan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A723A">
        <w:rPr>
          <w:rFonts w:ascii="TimesNewRomanPSMT" w:hAnsi="TimesNewRomanPSMT" w:cs="TimesNewRomanPSMT"/>
          <w:sz w:val="24"/>
          <w:szCs w:val="24"/>
          <w:lang w:val="fr-FR"/>
        </w:rPr>
        <w:t>Université, 1990.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G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AUTHIER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Guy,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Le documentaire, un autre cinéma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Paris, Nathan, 2003.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J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OUSSE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Thierry, P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AQUOT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Thierry (</w:t>
      </w:r>
      <w:proofErr w:type="spellStart"/>
      <w:r w:rsidRPr="00FA723A">
        <w:rPr>
          <w:rFonts w:ascii="TimesNewRomanPSMT" w:hAnsi="TimesNewRomanPSMT" w:cs="TimesNewRomanPSMT"/>
          <w:sz w:val="24"/>
          <w:szCs w:val="24"/>
          <w:lang w:val="fr-FR"/>
        </w:rPr>
        <w:t>dir</w:t>
      </w:r>
      <w:proofErr w:type="spellEnd"/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.),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La ville au cinéma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Encyclopédie, Paris,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A723A">
        <w:rPr>
          <w:rFonts w:ascii="TimesNewRomanPSMT" w:hAnsi="TimesNewRomanPSMT" w:cs="TimesNewRomanPSMT"/>
          <w:sz w:val="24"/>
          <w:szCs w:val="24"/>
          <w:lang w:val="fr-FR"/>
        </w:rPr>
        <w:t>Cahiers du cinéma, 2005.</w:t>
      </w:r>
    </w:p>
    <w:p w:rsidR="00FA723A" w:rsidRP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T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ERRASA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Jacques,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L’Analyse du texte et de l’image en espagnol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Nathan université,</w:t>
      </w:r>
    </w:p>
    <w:p w:rsidR="00FA723A" w:rsidRDefault="00FA723A" w:rsidP="00FA7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1999.</w:t>
      </w:r>
    </w:p>
    <w:p w:rsidR="00FA723A" w:rsidRPr="00FA723A" w:rsidRDefault="00FA723A" w:rsidP="00FA723A">
      <w:pPr>
        <w:rPr>
          <w:lang w:val="fr-FR"/>
        </w:rPr>
      </w:pPr>
      <w:r>
        <w:rPr>
          <w:rFonts w:ascii="Symbol" w:hAnsi="Symbol" w:cs="Symbol"/>
          <w:sz w:val="24"/>
          <w:szCs w:val="24"/>
        </w:rPr>
        <w:lastRenderedPageBreak/>
        <w:t></w:t>
      </w:r>
      <w:r>
        <w:rPr>
          <w:rFonts w:ascii="Symbol" w:hAnsi="Symbol" w:cs="Symbol"/>
          <w:sz w:val="24"/>
          <w:szCs w:val="24"/>
        </w:rPr>
        <w:t>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V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ANOYE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Francis, G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>OLIOT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-L</w:t>
      </w:r>
      <w:r w:rsidRPr="00FA723A">
        <w:rPr>
          <w:rFonts w:ascii="TimesNewRomanPSMT" w:hAnsi="TimesNewRomanPSMT" w:cs="TimesNewRomanPSMT"/>
          <w:sz w:val="19"/>
          <w:szCs w:val="19"/>
          <w:lang w:val="fr-FR"/>
        </w:rPr>
        <w:t xml:space="preserve">ÉTÉ 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 xml:space="preserve">Anne, </w:t>
      </w:r>
      <w:r w:rsidRPr="00FA723A">
        <w:rPr>
          <w:rFonts w:ascii="TimesNewRomanPS-ItalicMT" w:hAnsi="TimesNewRomanPS-ItalicMT" w:cs="TimesNewRomanPS-ItalicMT"/>
          <w:i/>
          <w:iCs/>
          <w:sz w:val="24"/>
          <w:szCs w:val="24"/>
          <w:lang w:val="fr-FR"/>
        </w:rPr>
        <w:t>Précis d’analyse filmique</w:t>
      </w:r>
      <w:r w:rsidRPr="00FA723A">
        <w:rPr>
          <w:rFonts w:ascii="TimesNewRomanPSMT" w:hAnsi="TimesNewRomanPSMT" w:cs="TimesNewRomanPSMT"/>
          <w:sz w:val="24"/>
          <w:szCs w:val="24"/>
          <w:lang w:val="fr-FR"/>
        </w:rPr>
        <w:t>, Paris, Nathan</w:t>
      </w:r>
    </w:p>
    <w:p w:rsidR="00BE5494" w:rsidRPr="00C92989" w:rsidRDefault="00BE5494" w:rsidP="00BE5494">
      <w:pPr>
        <w:pStyle w:val="Titre2"/>
        <w:rPr>
          <w:lang w:val="fr-FR"/>
        </w:rPr>
      </w:pPr>
      <w:r w:rsidRPr="00C92989">
        <w:rPr>
          <w:lang w:val="fr-FR"/>
        </w:rPr>
        <w:t>Pierre-Paul GREGORIO</w:t>
      </w:r>
      <w:r>
        <w:rPr>
          <w:lang w:val="fr-FR"/>
        </w:rPr>
        <w:t xml:space="preserve"> (</w:t>
      </w:r>
      <w:r w:rsidRPr="007E5D9C">
        <w:rPr>
          <w:lang w:val="fr-FR"/>
        </w:rPr>
        <w:t>semestre 1</w:t>
      </w:r>
      <w:r>
        <w:rPr>
          <w:lang w:val="fr-FR"/>
        </w:rPr>
        <w:t>)</w:t>
      </w:r>
    </w:p>
    <w:p w:rsidR="00BE5494" w:rsidRDefault="00BE5494" w:rsidP="00FA723A">
      <w:pPr>
        <w:pStyle w:val="Titre3"/>
      </w:pPr>
      <w:r>
        <w:t>1968-2011: EL PESO POLÍTICO DE</w:t>
      </w:r>
      <w:r>
        <w:rPr>
          <w:rStyle w:val="apple-converted-space"/>
          <w:color w:val="000000"/>
          <w:sz w:val="20"/>
          <w:szCs w:val="20"/>
        </w:rPr>
        <w:t> </w:t>
      </w:r>
      <w:r w:rsidRPr="00C92989">
        <w:rPr>
          <w:rStyle w:val="Accentuation"/>
          <w:color w:val="548DD4" w:themeColor="text2" w:themeTint="99"/>
          <w:sz w:val="20"/>
          <w:szCs w:val="20"/>
        </w:rPr>
        <w:t>EUSKADI TA ASKATASUNA</w:t>
      </w:r>
      <w:r w:rsidRPr="00C92989">
        <w:rPr>
          <w:color w:val="548DD4" w:themeColor="text2" w:themeTint="99"/>
        </w:rPr>
        <w:t>.</w:t>
      </w:r>
    </w:p>
    <w:p w:rsidR="00BE5494" w:rsidRDefault="00BE5494" w:rsidP="00BE5494">
      <w:pPr>
        <w:pStyle w:val="NormalWeb"/>
        <w:rPr>
          <w:color w:val="000000"/>
          <w:sz w:val="20"/>
          <w:szCs w:val="20"/>
        </w:rPr>
      </w:pPr>
    </w:p>
    <w:p w:rsidR="00BE5494" w:rsidRDefault="00BE5494" w:rsidP="00BE5494">
      <w:pPr>
        <w:pStyle w:val="Titre4"/>
      </w:pPr>
      <w:r>
        <w:t>BIBLIOGRAFÍA: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</w:rPr>
      </w:pPr>
      <w:r w:rsidRPr="00690348">
        <w:rPr>
          <w:rFonts w:ascii="Palatino Linotype" w:hAnsi="Palatino Linotype"/>
          <w:color w:val="000000"/>
          <w:sz w:val="20"/>
          <w:szCs w:val="20"/>
        </w:rPr>
        <w:t>AGUIRRE Julen,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</w:rPr>
        <w:t>Operación Ogro. Cómo y por qué ejecutamos a Carrero Blanco,</w:t>
      </w:r>
      <w:r w:rsidRPr="00690348">
        <w:rPr>
          <w:rStyle w:val="apple-converted-space"/>
          <w:rFonts w:ascii="Palatino Linotype" w:hAnsi="Palatino Linotype"/>
          <w:i/>
          <w:iCs/>
          <w:color w:val="000000"/>
          <w:sz w:val="20"/>
          <w:szCs w:val="20"/>
        </w:rPr>
        <w:t> </w:t>
      </w:r>
      <w:r w:rsidRPr="00690348">
        <w:rPr>
          <w:rFonts w:ascii="Palatino Linotype" w:hAnsi="Palatino Linotype"/>
          <w:color w:val="000000"/>
          <w:sz w:val="20"/>
          <w:szCs w:val="20"/>
        </w:rPr>
        <w:t xml:space="preserve">San Sebastián,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</w:rPr>
        <w:t>Hordago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>, 1979.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  <w:lang w:val="fr-FR"/>
        </w:rPr>
      </w:pP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BONANATE Luigi,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Le terrorisme international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Firenze, Casterman-Giunti, 1994.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</w:rPr>
      </w:pPr>
      <w:r w:rsidRPr="00690348">
        <w:rPr>
          <w:rFonts w:ascii="Palatino Linotype" w:hAnsi="Palatino Linotype"/>
          <w:color w:val="000000"/>
          <w:sz w:val="20"/>
          <w:szCs w:val="20"/>
        </w:rPr>
        <w:t>BRUNI Luigi,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</w:rPr>
        <w:t>Historia política de una lucha armada</w:t>
      </w:r>
      <w:r w:rsidRPr="00690348">
        <w:rPr>
          <w:rFonts w:ascii="Palatino Linotype" w:hAnsi="Palatino Linotype"/>
          <w:color w:val="000000"/>
          <w:sz w:val="20"/>
          <w:szCs w:val="20"/>
        </w:rPr>
        <w:t xml:space="preserve">, Bilbao,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</w:rPr>
        <w:t>Txalaparta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>, 1994.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</w:rPr>
      </w:pP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CARR Matthew,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La mécanique infernale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 xml:space="preserve">, Paris, Ed.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</w:rPr>
        <w:t>Héloïse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</w:rPr>
        <w:t>d'Ormesson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>, 2008.</w:t>
      </w:r>
      <w:r w:rsidRPr="00690348">
        <w:rPr>
          <w:rFonts w:ascii="Palatino Linotype" w:hAnsi="Palatino Linotype"/>
          <w:color w:val="000000"/>
          <w:sz w:val="20"/>
          <w:szCs w:val="20"/>
        </w:rPr>
        <w:br/>
        <w:t>CERDÁN Manuel,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</w:rPr>
        <w:t>Matar a Carrero: la conspiración</w:t>
      </w:r>
      <w:r w:rsidRPr="00690348">
        <w:rPr>
          <w:rFonts w:ascii="Palatino Linotype" w:hAnsi="Palatino Linotype"/>
          <w:color w:val="000000"/>
          <w:sz w:val="20"/>
          <w:szCs w:val="20"/>
        </w:rPr>
        <w:t xml:space="preserve">, Barcelona,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</w:rPr>
        <w:t>Plaza&amp;Janés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>, 2013.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</w:rPr>
      </w:pPr>
      <w:r w:rsidRPr="00690348">
        <w:rPr>
          <w:rFonts w:ascii="Palatino Linotype" w:hAnsi="Palatino Linotype"/>
          <w:color w:val="000000"/>
          <w:sz w:val="20"/>
          <w:szCs w:val="20"/>
        </w:rPr>
        <w:t>ELORZA Antonio (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</w:rPr>
        <w:t>coord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>),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</w:rPr>
        <w:t>La historia de ETA</w:t>
      </w:r>
      <w:r w:rsidRPr="00690348">
        <w:rPr>
          <w:rFonts w:ascii="Palatino Linotype" w:hAnsi="Palatino Linotype"/>
          <w:color w:val="000000"/>
          <w:sz w:val="20"/>
          <w:szCs w:val="20"/>
        </w:rPr>
        <w:t>, Madrid, Temas de hoy, 2000.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  <w:lang w:val="fr-FR"/>
        </w:rPr>
      </w:pP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FERRAGU Gilles,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Histoire du terrorisme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Paris, Perrin, 2014.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  <w:lang w:val="fr-FR"/>
        </w:rPr>
      </w:pP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 xml:space="preserve">GABRIEL-OYHAMBURU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Kattalin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Du nationalisme au terrorisme basque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Paris, L'Harmattan, 2014.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br/>
        <w:t>IZQUIERDO Jean-Marie 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La question basque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Bruxelles, Ed. Complexe, 2000.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  <w:lang w:val="fr-FR"/>
        </w:rPr>
      </w:pP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PRAZAN Michaël,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Une histoire du terrorisme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Paris, Flammarion, 2012.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</w:rPr>
      </w:pPr>
      <w:r w:rsidRPr="00690348">
        <w:rPr>
          <w:rFonts w:ascii="Palatino Linotype" w:hAnsi="Palatino Linotype"/>
          <w:color w:val="000000"/>
          <w:sz w:val="20"/>
          <w:szCs w:val="20"/>
        </w:rPr>
        <w:t>VILLAR Ernesto,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</w:rPr>
        <w:t xml:space="preserve">Todos quieren matar a </w:t>
      </w:r>
      <w:proofErr w:type="spellStart"/>
      <w:r w:rsidRPr="00690348">
        <w:rPr>
          <w:rStyle w:val="Accentuation"/>
          <w:rFonts w:ascii="Palatino Linotype" w:hAnsi="Palatino Linotype"/>
          <w:color w:val="000000"/>
          <w:sz w:val="20"/>
          <w:szCs w:val="20"/>
        </w:rPr>
        <w:t>Carrrero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 xml:space="preserve">, Madrid,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</w:rPr>
        <w:t>LibrosLibres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</w:rPr>
        <w:t>, 2011.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  <w:lang w:val="fr-FR"/>
        </w:rPr>
      </w:pP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 xml:space="preserve">ZIZEK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Slavoj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V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iolence: six réflexions transversales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Vauvert, Au diable Vauvert, 2012.</w:t>
      </w:r>
    </w:p>
    <w:p w:rsidR="00BE5494" w:rsidRPr="00690348" w:rsidRDefault="00BE5494" w:rsidP="00BE5494">
      <w:pPr>
        <w:pStyle w:val="NormalWeb"/>
        <w:numPr>
          <w:ilvl w:val="0"/>
          <w:numId w:val="4"/>
        </w:numPr>
        <w:spacing w:before="0" w:beforeAutospacing="0"/>
        <w:rPr>
          <w:rFonts w:ascii="Palatino Linotype" w:hAnsi="Palatino Linotype"/>
          <w:color w:val="000000"/>
          <w:sz w:val="20"/>
          <w:szCs w:val="20"/>
          <w:lang w:val="fr-FR"/>
        </w:rPr>
      </w:pP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ABC, EL PAÍS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LA VANGUARDIA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>LE MONDE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, LIBÉRATION,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lang w:val="fr-FR"/>
        </w:rPr>
        <w:t xml:space="preserve">LE FIGARO 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(aux dates clés déterminées par la lecture des œuvres conseillées +</w:t>
      </w:r>
      <w:r w:rsidRPr="00690348">
        <w:rPr>
          <w:rStyle w:val="apple-converted-space"/>
          <w:rFonts w:ascii="Palatino Linotype" w:hAnsi="Palatino Linotype"/>
          <w:color w:val="000000"/>
          <w:sz w:val="20"/>
          <w:szCs w:val="20"/>
          <w:lang w:val="fr-FR"/>
        </w:rPr>
        <w:t> </w:t>
      </w:r>
      <w:r w:rsidRPr="00690348">
        <w:rPr>
          <w:rStyle w:val="object"/>
          <w:rFonts w:ascii="Palatino Linotype" w:hAnsi="Palatino Linotype"/>
          <w:color w:val="336699"/>
          <w:sz w:val="20"/>
          <w:szCs w:val="20"/>
          <w:lang w:val="fr-FR"/>
        </w:rPr>
        <w:t>octobre 2011</w:t>
      </w:r>
      <w:r w:rsidRPr="00690348">
        <w:rPr>
          <w:rFonts w:ascii="Palatino Linotype" w:hAnsi="Palatino Linotype"/>
          <w:color w:val="000000"/>
          <w:sz w:val="20"/>
          <w:szCs w:val="20"/>
          <w:lang w:val="fr-FR"/>
        </w:rPr>
        <w:t>: fin de l'ETA)</w:t>
      </w:r>
    </w:p>
    <w:p w:rsidR="00BE5494" w:rsidRPr="00CB4D4D" w:rsidRDefault="00BE5494" w:rsidP="00BE5494">
      <w:pPr>
        <w:pStyle w:val="Titre2"/>
        <w:rPr>
          <w:lang w:val="fr-FR"/>
        </w:rPr>
      </w:pPr>
      <w:r w:rsidRPr="00CB4D4D">
        <w:rPr>
          <w:lang w:val="fr-FR"/>
        </w:rPr>
        <w:t>Aline JANQUART</w:t>
      </w:r>
      <w:r>
        <w:rPr>
          <w:lang w:val="fr-FR"/>
        </w:rPr>
        <w:t xml:space="preserve"> (semestre 2)</w:t>
      </w:r>
    </w:p>
    <w:p w:rsidR="00BE5494" w:rsidRPr="00CB4D4D" w:rsidRDefault="00BE5494" w:rsidP="00BE5494">
      <w:pPr>
        <w:pStyle w:val="Titre3"/>
        <w:rPr>
          <w:shd w:val="clear" w:color="auto" w:fill="FDFDFD"/>
          <w:lang w:val="fr-FR"/>
        </w:rPr>
      </w:pPr>
      <w:r w:rsidRPr="00CB4D4D">
        <w:rPr>
          <w:shd w:val="clear" w:color="auto" w:fill="FDFDFD"/>
          <w:lang w:val="fr-FR"/>
        </w:rPr>
        <w:t xml:space="preserve">La </w:t>
      </w:r>
      <w:proofErr w:type="spellStart"/>
      <w:r w:rsidRPr="00CB4D4D">
        <w:rPr>
          <w:shd w:val="clear" w:color="auto" w:fill="FDFDFD"/>
          <w:lang w:val="fr-FR"/>
        </w:rPr>
        <w:t>nueva</w:t>
      </w:r>
      <w:proofErr w:type="spellEnd"/>
      <w:r w:rsidRPr="00CB4D4D">
        <w:rPr>
          <w:shd w:val="clear" w:color="auto" w:fill="FDFDFD"/>
          <w:lang w:val="fr-FR"/>
        </w:rPr>
        <w:t xml:space="preserve"> </w:t>
      </w:r>
      <w:proofErr w:type="spellStart"/>
      <w:r w:rsidRPr="00CB4D4D">
        <w:rPr>
          <w:shd w:val="clear" w:color="auto" w:fill="FDFDFD"/>
          <w:lang w:val="fr-FR"/>
        </w:rPr>
        <w:t>novela</w:t>
      </w:r>
      <w:proofErr w:type="spellEnd"/>
      <w:r w:rsidRPr="00CB4D4D">
        <w:rPr>
          <w:shd w:val="clear" w:color="auto" w:fill="FDFDFD"/>
          <w:lang w:val="fr-FR"/>
        </w:rPr>
        <w:t xml:space="preserve"> </w:t>
      </w:r>
      <w:proofErr w:type="spellStart"/>
      <w:r w:rsidRPr="00CB4D4D">
        <w:rPr>
          <w:shd w:val="clear" w:color="auto" w:fill="FDFDFD"/>
          <w:lang w:val="fr-FR"/>
        </w:rPr>
        <w:t>policiaca</w:t>
      </w:r>
      <w:proofErr w:type="spellEnd"/>
      <w:r w:rsidRPr="00CB4D4D">
        <w:rPr>
          <w:shd w:val="clear" w:color="auto" w:fill="FDFDFD"/>
          <w:lang w:val="fr-FR"/>
        </w:rPr>
        <w:t xml:space="preserve">: </w:t>
      </w:r>
    </w:p>
    <w:p w:rsidR="00BE5494" w:rsidRPr="008126BE" w:rsidRDefault="00BE5494" w:rsidP="00BE5494">
      <w:pPr>
        <w:pStyle w:val="Titre4"/>
        <w:rPr>
          <w:shd w:val="clear" w:color="auto" w:fill="FDFDFD"/>
          <w:lang w:val="fr-FR"/>
        </w:rPr>
      </w:pPr>
      <w:r w:rsidRPr="008126BE">
        <w:rPr>
          <w:shd w:val="clear" w:color="auto" w:fill="FDFDFD"/>
          <w:lang w:val="fr-FR"/>
        </w:rPr>
        <w:t>Ouvrages au programme:</w:t>
      </w:r>
    </w:p>
    <w:p w:rsidR="00BE5494" w:rsidRPr="008126BE" w:rsidRDefault="00BE5494" w:rsidP="00BE5494">
      <w:pPr>
        <w:rPr>
          <w:lang w:val="fr-FR"/>
        </w:rPr>
      </w:pPr>
    </w:p>
    <w:p w:rsidR="00BE5494" w:rsidRPr="00690348" w:rsidRDefault="00BE5494" w:rsidP="00BE5494">
      <w:pPr>
        <w:pStyle w:val="Paragraphedeliste"/>
        <w:numPr>
          <w:ilvl w:val="0"/>
          <w:numId w:val="2"/>
        </w:numPr>
        <w:spacing w:line="240" w:lineRule="auto"/>
        <w:rPr>
          <w:rFonts w:ascii="Palatino Linotype" w:hAnsi="Palatino Linotype"/>
          <w:color w:val="000000"/>
          <w:sz w:val="20"/>
          <w:szCs w:val="20"/>
          <w:shd w:val="clear" w:color="auto" w:fill="FDFDFD"/>
        </w:rPr>
      </w:pPr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 xml:space="preserve">Subcomandante Marcos &amp; Paco Ignacio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>Taibo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 xml:space="preserve"> II (México),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shd w:val="clear" w:color="auto" w:fill="FDFDFD"/>
        </w:rPr>
        <w:t>Muertos incómodos</w:t>
      </w:r>
    </w:p>
    <w:p w:rsidR="00BE5494" w:rsidRPr="00690348" w:rsidRDefault="00BE5494" w:rsidP="00BE5494">
      <w:pPr>
        <w:pStyle w:val="Paragraphedeliste"/>
        <w:numPr>
          <w:ilvl w:val="0"/>
          <w:numId w:val="2"/>
        </w:numPr>
        <w:spacing w:line="240" w:lineRule="auto"/>
        <w:rPr>
          <w:rFonts w:ascii="Palatino Linotype" w:hAnsi="Palatino Linotype"/>
          <w:color w:val="000000"/>
          <w:sz w:val="20"/>
          <w:szCs w:val="20"/>
          <w:shd w:val="clear" w:color="auto" w:fill="FDFDFD"/>
        </w:rPr>
      </w:pPr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 xml:space="preserve">Santiago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>Roncagliolo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 xml:space="preserve"> (Perú),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shd w:val="clear" w:color="auto" w:fill="FDFDFD"/>
        </w:rPr>
        <w:t>Abril rojo</w:t>
      </w:r>
    </w:p>
    <w:p w:rsidR="00BE5494" w:rsidRPr="00690348" w:rsidRDefault="00BE5494" w:rsidP="00BE5494">
      <w:pPr>
        <w:pStyle w:val="Paragraphedeliste"/>
        <w:numPr>
          <w:ilvl w:val="0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 xml:space="preserve">Dante </w:t>
      </w:r>
      <w:proofErr w:type="spellStart"/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>Liano</w:t>
      </w:r>
      <w:proofErr w:type="spellEnd"/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 xml:space="preserve"> (Guatemala), </w:t>
      </w:r>
      <w:r w:rsidRPr="00690348">
        <w:rPr>
          <w:rStyle w:val="Accentuation"/>
          <w:rFonts w:ascii="Palatino Linotype" w:hAnsi="Palatino Linotype"/>
          <w:color w:val="000000"/>
          <w:sz w:val="20"/>
          <w:szCs w:val="20"/>
          <w:shd w:val="clear" w:color="auto" w:fill="FDFDFD"/>
        </w:rPr>
        <w:t>El hombre de Montserrat</w:t>
      </w:r>
      <w:r w:rsidRPr="00690348">
        <w:rPr>
          <w:rFonts w:ascii="Palatino Linotype" w:hAnsi="Palatino Linotype"/>
          <w:color w:val="000000"/>
          <w:sz w:val="20"/>
          <w:szCs w:val="20"/>
          <w:shd w:val="clear" w:color="auto" w:fill="FDFDFD"/>
        </w:rPr>
        <w:t>.</w:t>
      </w:r>
    </w:p>
    <w:p w:rsidR="00BE5494" w:rsidRPr="00BE5494" w:rsidRDefault="00BE5494" w:rsidP="00BE5494">
      <w:pPr>
        <w:rPr>
          <w:i/>
        </w:rPr>
      </w:pPr>
    </w:p>
    <w:p w:rsidR="00AC31D6" w:rsidRPr="00FA723A" w:rsidRDefault="008126BE" w:rsidP="008126BE">
      <w:pPr>
        <w:pStyle w:val="Titre2"/>
      </w:pPr>
      <w:r w:rsidRPr="00FA723A">
        <w:t>Catherine ORSINI (semestre 2)</w:t>
      </w:r>
    </w:p>
    <w:p w:rsidR="008126BE" w:rsidRDefault="008126BE" w:rsidP="008126BE">
      <w:pPr>
        <w:pStyle w:val="Titre2"/>
      </w:pPr>
      <w:r>
        <w:t>La novela de la (post)-memoria en la literatura española de principios del siglo XXI</w:t>
      </w:r>
    </w:p>
    <w:p w:rsidR="008126BE" w:rsidRPr="00FA723A" w:rsidRDefault="008126BE" w:rsidP="008126BE">
      <w:pPr>
        <w:pStyle w:val="Titre3"/>
        <w:rPr>
          <w:lang w:val="fr-FR"/>
        </w:rPr>
      </w:pPr>
      <w:proofErr w:type="spellStart"/>
      <w:r w:rsidRPr="00FA723A">
        <w:rPr>
          <w:lang w:val="fr-FR"/>
        </w:rPr>
        <w:t>OEuvres</w:t>
      </w:r>
      <w:proofErr w:type="spellEnd"/>
      <w:r w:rsidRPr="00FA723A">
        <w:rPr>
          <w:lang w:val="fr-FR"/>
        </w:rPr>
        <w:t xml:space="preserve"> au programme</w:t>
      </w:r>
    </w:p>
    <w:p w:rsidR="008126BE" w:rsidRPr="00FA723A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A723A">
        <w:rPr>
          <w:rFonts w:ascii="Times New Roman" w:hAnsi="Times New Roman" w:cs="Times New Roman"/>
          <w:sz w:val="24"/>
          <w:szCs w:val="24"/>
          <w:lang w:val="fr-FR"/>
        </w:rPr>
        <w:t xml:space="preserve">Javier </w:t>
      </w:r>
      <w:proofErr w:type="spellStart"/>
      <w:r w:rsidRPr="00FA723A">
        <w:rPr>
          <w:rFonts w:ascii="Times New Roman" w:hAnsi="Times New Roman" w:cs="Times New Roman"/>
          <w:sz w:val="24"/>
          <w:szCs w:val="24"/>
          <w:lang w:val="fr-FR"/>
        </w:rPr>
        <w:t>Cercas</w:t>
      </w:r>
      <w:proofErr w:type="spellEnd"/>
      <w:r w:rsidRPr="00FA723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A723A">
        <w:rPr>
          <w:rFonts w:ascii="Times New Roman" w:hAnsi="Times New Roman" w:cs="Times New Roman"/>
          <w:i/>
          <w:iCs/>
          <w:sz w:val="24"/>
          <w:szCs w:val="24"/>
          <w:lang w:val="fr-FR"/>
        </w:rPr>
        <w:t>Soldados</w:t>
      </w:r>
      <w:proofErr w:type="spellEnd"/>
      <w:r w:rsidRPr="00FA723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FA723A">
        <w:rPr>
          <w:rFonts w:ascii="Times New Roman" w:hAnsi="Times New Roman" w:cs="Times New Roman"/>
          <w:i/>
          <w:iCs/>
          <w:sz w:val="24"/>
          <w:szCs w:val="24"/>
          <w:lang w:val="fr-FR"/>
        </w:rPr>
        <w:t>Salamina</w:t>
      </w:r>
      <w:proofErr w:type="spellEnd"/>
      <w:r w:rsidRPr="00FA723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A723A">
        <w:rPr>
          <w:rFonts w:ascii="Times New Roman" w:hAnsi="Times New Roman" w:cs="Times New Roman"/>
          <w:sz w:val="24"/>
          <w:szCs w:val="24"/>
          <w:lang w:val="fr-FR"/>
        </w:rPr>
        <w:t>Tusquets</w:t>
      </w:r>
      <w:proofErr w:type="spellEnd"/>
      <w:r w:rsidRPr="00FA723A">
        <w:rPr>
          <w:rFonts w:ascii="Times New Roman" w:hAnsi="Times New Roman" w:cs="Times New Roman"/>
          <w:sz w:val="24"/>
          <w:szCs w:val="24"/>
          <w:lang w:val="fr-FR"/>
        </w:rPr>
        <w:t>, 2001.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Jesús Ferrero, </w:t>
      </w:r>
      <w:r>
        <w:rPr>
          <w:rFonts w:ascii="Times New Roman" w:hAnsi="Times New Roman" w:cs="Times New Roman"/>
          <w:i/>
          <w:iCs/>
          <w:sz w:val="24"/>
          <w:szCs w:val="24"/>
        </w:rPr>
        <w:t>Trece rosas rojas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Siruela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Rosa,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 vano ayer,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Barral, 2005.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BE" w:rsidRDefault="008126BE" w:rsidP="008126BE">
      <w:pPr>
        <w:pStyle w:val="Titre3"/>
      </w:pPr>
      <w:proofErr w:type="spellStart"/>
      <w:r>
        <w:lastRenderedPageBreak/>
        <w:t>Lectures</w:t>
      </w:r>
      <w:proofErr w:type="spellEnd"/>
      <w:r>
        <w:t xml:space="preserve"> </w:t>
      </w:r>
      <w:proofErr w:type="spellStart"/>
      <w:r>
        <w:t>complémentaires</w:t>
      </w:r>
      <w:proofErr w:type="spellEnd"/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Alberto Méndez, </w:t>
      </w:r>
      <w:r>
        <w:rPr>
          <w:rFonts w:ascii="Times New Roman" w:hAnsi="Times New Roman" w:cs="Times New Roman"/>
          <w:i/>
          <w:iCs/>
          <w:sz w:val="24"/>
          <w:szCs w:val="24"/>
        </w:rPr>
        <w:t>Los girasoles ciegos</w:t>
      </w:r>
      <w:r>
        <w:rPr>
          <w:rFonts w:ascii="Times New Roman" w:hAnsi="Times New Roman" w:cs="Times New Roman"/>
          <w:sz w:val="24"/>
          <w:szCs w:val="24"/>
        </w:rPr>
        <w:t>, Anagrama, 2003.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López, </w:t>
      </w:r>
      <w:r>
        <w:rPr>
          <w:rFonts w:ascii="Times New Roman" w:hAnsi="Times New Roman" w:cs="Times New Roman"/>
          <w:i/>
          <w:iCs/>
          <w:sz w:val="24"/>
          <w:szCs w:val="24"/>
        </w:rPr>
        <w:t>Martina la rosa número trece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Barral, 2006.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Cartas desde la ausencia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Barral, 2008.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Ignacio Martínez de Pisón, </w:t>
      </w:r>
      <w:r>
        <w:rPr>
          <w:rFonts w:ascii="Times New Roman" w:hAnsi="Times New Roman" w:cs="Times New Roman"/>
          <w:i/>
          <w:iCs/>
          <w:sz w:val="24"/>
          <w:szCs w:val="24"/>
        </w:rPr>
        <w:t>El día de mañana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Barral, 2011.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BE" w:rsidRDefault="008126BE" w:rsidP="008126BE">
      <w:pPr>
        <w:pStyle w:val="Titre3"/>
      </w:pPr>
      <w:proofErr w:type="spellStart"/>
      <w:r>
        <w:t>Bibliographie</w:t>
      </w:r>
      <w:proofErr w:type="spellEnd"/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Blanco, </w:t>
      </w:r>
      <w:r>
        <w:rPr>
          <w:rFonts w:ascii="Times New Roman" w:hAnsi="Times New Roman" w:cs="Times New Roman"/>
          <w:i/>
          <w:iCs/>
          <w:sz w:val="24"/>
          <w:szCs w:val="24"/>
        </w:rPr>
        <w:t>Contornos de la narrativa española actual (2000-2010): un diálogo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entre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creadores y críticos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Vervuert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8126BE" w:rsidRP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8126BE">
        <w:rPr>
          <w:rFonts w:ascii="Times New Roman" w:hAnsi="Times New Roman" w:cs="Times New Roman"/>
          <w:sz w:val="24"/>
          <w:szCs w:val="24"/>
          <w:lang w:val="fr-FR"/>
        </w:rPr>
        <w:t xml:space="preserve">Jan </w:t>
      </w:r>
      <w:proofErr w:type="spellStart"/>
      <w:r w:rsidRPr="008126BE">
        <w:rPr>
          <w:rFonts w:ascii="Times New Roman" w:hAnsi="Times New Roman" w:cs="Times New Roman"/>
          <w:sz w:val="24"/>
          <w:szCs w:val="24"/>
          <w:lang w:val="fr-FR"/>
        </w:rPr>
        <w:t>Assmann</w:t>
      </w:r>
      <w:proofErr w:type="spellEnd"/>
      <w:r w:rsidRPr="008126B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8126BE">
        <w:rPr>
          <w:rFonts w:ascii="Times New Roman" w:hAnsi="Times New Roman" w:cs="Times New Roman"/>
          <w:i/>
          <w:iCs/>
          <w:sz w:val="24"/>
          <w:szCs w:val="24"/>
          <w:lang w:val="fr-FR"/>
        </w:rPr>
        <w:t>La mémoire culturelle. Ecriture, souvenir et imaginaire politique dans les</w:t>
      </w:r>
    </w:p>
    <w:p w:rsidR="008126BE" w:rsidRP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126BE">
        <w:rPr>
          <w:rFonts w:ascii="Times New Roman" w:hAnsi="Times New Roman" w:cs="Times New Roman"/>
          <w:i/>
          <w:iCs/>
          <w:sz w:val="24"/>
          <w:szCs w:val="24"/>
          <w:lang w:val="fr-FR"/>
        </w:rPr>
        <w:t>civilisations</w:t>
      </w:r>
      <w:proofErr w:type="gramEnd"/>
      <w:r w:rsidRPr="008126B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antiques</w:t>
      </w:r>
      <w:r w:rsidRPr="008126BE">
        <w:rPr>
          <w:rFonts w:ascii="Times New Roman" w:hAnsi="Times New Roman" w:cs="Times New Roman"/>
          <w:sz w:val="24"/>
          <w:szCs w:val="24"/>
          <w:lang w:val="fr-FR"/>
        </w:rPr>
        <w:t>, Aubier, 2010 [partie « Fondements théoriques »].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Lauge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Hansen, Juan Carlos Cruz Suárez, </w:t>
      </w:r>
      <w:r>
        <w:rPr>
          <w:rFonts w:ascii="Times New Roman" w:hAnsi="Times New Roman" w:cs="Times New Roman"/>
          <w:i/>
          <w:iCs/>
          <w:sz w:val="24"/>
          <w:szCs w:val="24"/>
        </w:rPr>
        <w:t>La memoria novelada</w:t>
      </w:r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Luengo, </w:t>
      </w:r>
      <w:r>
        <w:rPr>
          <w:rFonts w:ascii="Times New Roman" w:hAnsi="Times New Roman" w:cs="Times New Roman"/>
          <w:i/>
          <w:iCs/>
          <w:sz w:val="24"/>
          <w:szCs w:val="24"/>
        </w:rPr>
        <w:t>La encrucijada de la memoria</w:t>
      </w:r>
      <w:r>
        <w:rPr>
          <w:rFonts w:ascii="Times New Roman" w:hAnsi="Times New Roman" w:cs="Times New Roman"/>
          <w:sz w:val="24"/>
          <w:szCs w:val="24"/>
        </w:rPr>
        <w:t>, Tranvía, 2004.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Raquel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María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Entre la memoria propia y la ajena. Tendencias y</w:t>
      </w:r>
    </w:p>
    <w:p w:rsid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debates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 la narrativa española actual</w:t>
      </w:r>
      <w:r>
        <w:rPr>
          <w:rFonts w:ascii="Times New Roman" w:hAnsi="Times New Roman" w:cs="Times New Roman"/>
          <w:sz w:val="24"/>
          <w:szCs w:val="24"/>
        </w:rPr>
        <w:t>, Ed. del lado de acá, 2010.</w:t>
      </w:r>
    </w:p>
    <w:p w:rsidR="008126BE" w:rsidRPr="008126BE" w:rsidRDefault="008126BE" w:rsidP="0081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126BE">
        <w:rPr>
          <w:rFonts w:ascii="Times New Roman" w:hAnsi="Times New Roman" w:cs="Times New Roman"/>
          <w:b/>
          <w:bCs/>
          <w:sz w:val="24"/>
          <w:szCs w:val="24"/>
          <w:lang w:val="fr-FR"/>
        </w:rPr>
        <w:t>Une bibliographie centrée sur les auteurs des œuvres au programme sera donnée</w:t>
      </w:r>
    </w:p>
    <w:p w:rsidR="008126BE" w:rsidRPr="008126BE" w:rsidRDefault="008126BE" w:rsidP="008126BE"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ultérieurement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4D4D" w:rsidRPr="00CB4D4D" w:rsidRDefault="00CB4D4D" w:rsidP="00CB4D4D"/>
    <w:sectPr w:rsidR="00CB4D4D" w:rsidRPr="00CB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EF5"/>
    <w:multiLevelType w:val="hybridMultilevel"/>
    <w:tmpl w:val="A9A0F9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62ED"/>
    <w:multiLevelType w:val="hybridMultilevel"/>
    <w:tmpl w:val="F8B007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4A2C"/>
    <w:multiLevelType w:val="hybridMultilevel"/>
    <w:tmpl w:val="84264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92514"/>
    <w:multiLevelType w:val="hybridMultilevel"/>
    <w:tmpl w:val="256C1F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61958"/>
    <w:multiLevelType w:val="hybridMultilevel"/>
    <w:tmpl w:val="F21EEA24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/>
        <w:sz w:val="22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89"/>
    <w:rsid w:val="00102BFF"/>
    <w:rsid w:val="00532530"/>
    <w:rsid w:val="00690348"/>
    <w:rsid w:val="007E5D9C"/>
    <w:rsid w:val="008126BE"/>
    <w:rsid w:val="00AC31D6"/>
    <w:rsid w:val="00BE5494"/>
    <w:rsid w:val="00C92989"/>
    <w:rsid w:val="00CB4D4D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2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Policepardfaut"/>
    <w:rsid w:val="00C92989"/>
  </w:style>
  <w:style w:type="character" w:styleId="Accentuation">
    <w:name w:val="Emphasis"/>
    <w:basedOn w:val="Policepardfaut"/>
    <w:uiPriority w:val="20"/>
    <w:qFormat/>
    <w:rsid w:val="00C92989"/>
    <w:rPr>
      <w:i/>
      <w:iCs/>
    </w:rPr>
  </w:style>
  <w:style w:type="character" w:customStyle="1" w:styleId="object">
    <w:name w:val="object"/>
    <w:basedOn w:val="Policepardfaut"/>
    <w:rsid w:val="00C92989"/>
  </w:style>
  <w:style w:type="character" w:customStyle="1" w:styleId="Titre2Car">
    <w:name w:val="Titre 2 Car"/>
    <w:basedOn w:val="Policepardfaut"/>
    <w:link w:val="Titre2"/>
    <w:uiPriority w:val="9"/>
    <w:rsid w:val="00C9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92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9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92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92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C92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C31D6"/>
    <w:rPr>
      <w:b/>
      <w:bCs/>
    </w:rPr>
  </w:style>
  <w:style w:type="paragraph" w:styleId="Paragraphedeliste">
    <w:name w:val="List Paragraph"/>
    <w:basedOn w:val="Normal"/>
    <w:uiPriority w:val="34"/>
    <w:qFormat/>
    <w:rsid w:val="0069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2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Policepardfaut"/>
    <w:rsid w:val="00C92989"/>
  </w:style>
  <w:style w:type="character" w:styleId="Accentuation">
    <w:name w:val="Emphasis"/>
    <w:basedOn w:val="Policepardfaut"/>
    <w:uiPriority w:val="20"/>
    <w:qFormat/>
    <w:rsid w:val="00C92989"/>
    <w:rPr>
      <w:i/>
      <w:iCs/>
    </w:rPr>
  </w:style>
  <w:style w:type="character" w:customStyle="1" w:styleId="object">
    <w:name w:val="object"/>
    <w:basedOn w:val="Policepardfaut"/>
    <w:rsid w:val="00C92989"/>
  </w:style>
  <w:style w:type="character" w:customStyle="1" w:styleId="Titre2Car">
    <w:name w:val="Titre 2 Car"/>
    <w:basedOn w:val="Policepardfaut"/>
    <w:link w:val="Titre2"/>
    <w:uiPriority w:val="9"/>
    <w:rsid w:val="00C9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92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9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92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92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C92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C31D6"/>
    <w:rPr>
      <w:b/>
      <w:bCs/>
    </w:rPr>
  </w:style>
  <w:style w:type="paragraph" w:styleId="Paragraphedeliste">
    <w:name w:val="List Paragraph"/>
    <w:basedOn w:val="Normal"/>
    <w:uiPriority w:val="34"/>
    <w:qFormat/>
    <w:rsid w:val="0069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8</cp:revision>
  <dcterms:created xsi:type="dcterms:W3CDTF">2015-06-29T08:17:00Z</dcterms:created>
  <dcterms:modified xsi:type="dcterms:W3CDTF">2015-07-03T19:12:00Z</dcterms:modified>
</cp:coreProperties>
</file>